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3B" w:rsidRPr="00375823" w:rsidRDefault="002D5E3B" w:rsidP="002D5E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5823">
        <w:rPr>
          <w:rFonts w:ascii="Times New Roman" w:hAnsi="Times New Roman" w:cs="Times New Roman"/>
          <w:b/>
          <w:sz w:val="40"/>
          <w:szCs w:val="40"/>
        </w:rPr>
        <w:t>“Osservatorio di Milano – Gruppo danno alla persona”</w:t>
      </w:r>
    </w:p>
    <w:p w:rsidR="002D5E3B" w:rsidRDefault="002D5E3B" w:rsidP="002D5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E3B" w:rsidRPr="00F34222" w:rsidRDefault="002D5E3B" w:rsidP="002D5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Monitoraggio di sentenze in tema di liquidazione del danno non patrimoniale da perdita del rapporto parentale</w:t>
      </w:r>
    </w:p>
    <w:p w:rsidR="002D5E3B" w:rsidRPr="00EC55C6" w:rsidRDefault="000E6008" w:rsidP="006E2360">
      <w:pPr>
        <w:spacing w:before="60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08">
        <w:rPr>
          <w:rFonts w:ascii="Times New Roman" w:hAnsi="Times New Roman" w:cs="Times New Roman"/>
          <w:sz w:val="24"/>
          <w:szCs w:val="24"/>
        </w:rPr>
        <w:t>L</w:t>
      </w:r>
      <w:r w:rsidR="002D5E3B">
        <w:rPr>
          <w:rFonts w:ascii="Times New Roman" w:hAnsi="Times New Roman" w:cs="Times New Roman"/>
          <w:sz w:val="24"/>
          <w:szCs w:val="24"/>
        </w:rPr>
        <w:t>’</w:t>
      </w:r>
      <w:r w:rsidR="002D5E3B" w:rsidRPr="003B1C9B">
        <w:rPr>
          <w:rFonts w:ascii="Times New Roman" w:hAnsi="Times New Roman" w:cs="Times New Roman"/>
          <w:sz w:val="24"/>
          <w:szCs w:val="24"/>
        </w:rPr>
        <w:t>Osservatorio</w:t>
      </w:r>
      <w:r>
        <w:rPr>
          <w:rFonts w:ascii="Times New Roman" w:hAnsi="Times New Roman" w:cs="Times New Roman"/>
          <w:sz w:val="24"/>
          <w:szCs w:val="24"/>
        </w:rPr>
        <w:t xml:space="preserve"> di Milano</w:t>
      </w:r>
      <w:r w:rsidR="002D5E3B" w:rsidRPr="00EC55C6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intrapreso un </w:t>
      </w:r>
      <w:r w:rsidR="002D5E3B" w:rsidRPr="00EC55C6">
        <w:rPr>
          <w:rFonts w:ascii="Times New Roman" w:hAnsi="Times New Roman" w:cs="Times New Roman"/>
          <w:sz w:val="24"/>
          <w:szCs w:val="24"/>
        </w:rPr>
        <w:t xml:space="preserve">ampio monitoraggio di </w:t>
      </w:r>
      <w:r w:rsidR="002D5E3B">
        <w:rPr>
          <w:rFonts w:ascii="Times New Roman" w:hAnsi="Times New Roman" w:cs="Times New Roman"/>
          <w:sz w:val="24"/>
          <w:szCs w:val="24"/>
        </w:rPr>
        <w:t>sentenze</w:t>
      </w:r>
      <w:r>
        <w:rPr>
          <w:rFonts w:ascii="Times New Roman" w:hAnsi="Times New Roman" w:cs="Times New Roman"/>
          <w:sz w:val="24"/>
          <w:szCs w:val="24"/>
        </w:rPr>
        <w:t xml:space="preserve"> nella materia in esame</w:t>
      </w:r>
      <w:r w:rsidR="002D5E3B" w:rsidRPr="00EC55C6">
        <w:rPr>
          <w:rFonts w:ascii="Times New Roman" w:hAnsi="Times New Roman" w:cs="Times New Roman"/>
          <w:sz w:val="24"/>
          <w:szCs w:val="24"/>
        </w:rPr>
        <w:t xml:space="preserve"> per verificare in base a quali parametri, in concreto, i singoli giudici liquidino il danno nell’ambito dei valori </w:t>
      </w:r>
      <w:r w:rsidR="002D5E3B">
        <w:rPr>
          <w:rFonts w:ascii="Times New Roman" w:hAnsi="Times New Roman" w:cs="Times New Roman"/>
          <w:sz w:val="24"/>
          <w:szCs w:val="24"/>
        </w:rPr>
        <w:t xml:space="preserve">monetari </w:t>
      </w:r>
      <w:r w:rsidR="002D5E3B" w:rsidRPr="00EC55C6">
        <w:rPr>
          <w:rFonts w:ascii="Times New Roman" w:hAnsi="Times New Roman" w:cs="Times New Roman"/>
          <w:sz w:val="24"/>
          <w:szCs w:val="24"/>
        </w:rPr>
        <w:t>previsti nell’ampia forbice della Tabella.</w:t>
      </w:r>
    </w:p>
    <w:p w:rsidR="002D5E3B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5C6">
        <w:rPr>
          <w:rFonts w:ascii="Times New Roman" w:hAnsi="Times New Roman" w:cs="Times New Roman"/>
          <w:sz w:val="24"/>
          <w:szCs w:val="24"/>
        </w:rPr>
        <w:t>Con la preziosa collaborazione degli avvocati componenti del “Gruppo 3” dell’Osservatorio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55C6">
        <w:rPr>
          <w:rFonts w:ascii="Times New Roman" w:hAnsi="Times New Roman" w:cs="Times New Roman"/>
          <w:sz w:val="24"/>
          <w:szCs w:val="24"/>
        </w:rPr>
        <w:t xml:space="preserve"> sono state reperite e catalogate ben 415 domande (proposte avanti a 16 diversi Tribunali d’Italia) aventi ad oggetto la richiesta di danno da perdita del rapporto parentale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494C">
        <w:rPr>
          <w:rFonts w:ascii="Times New Roman" w:hAnsi="Times New Roman" w:cs="Times New Roman"/>
          <w:b/>
          <w:sz w:val="24"/>
          <w:szCs w:val="24"/>
        </w:rPr>
        <w:t xml:space="preserve">Sono stati così individuati i seguenti </w:t>
      </w:r>
      <w:r w:rsidRPr="00D7494C">
        <w:rPr>
          <w:rFonts w:ascii="Times New Roman" w:hAnsi="Times New Roman" w:cs="Times New Roman"/>
          <w:b/>
          <w:i/>
          <w:sz w:val="24"/>
          <w:szCs w:val="24"/>
        </w:rPr>
        <w:t>range</w:t>
      </w:r>
      <w:r w:rsidRPr="00D7494C">
        <w:rPr>
          <w:rFonts w:ascii="Times New Roman" w:hAnsi="Times New Roman" w:cs="Times New Roman"/>
          <w:b/>
          <w:sz w:val="24"/>
          <w:szCs w:val="24"/>
        </w:rPr>
        <w:t xml:space="preserve"> di liquidazione del danno in favore della prima serie di prossimi congiunti</w:t>
      </w:r>
      <w:r>
        <w:rPr>
          <w:rFonts w:ascii="Times New Roman" w:hAnsi="Times New Roman" w:cs="Times New Roman"/>
          <w:sz w:val="24"/>
          <w:szCs w:val="24"/>
        </w:rPr>
        <w:t xml:space="preserve"> (in favore di ciascun genitore per la morte del figlio, in favore del figlio per la morte del genitore e in favore del coniuge non separato, della parte dell’unione civile o del convivente di fatto sopravvissuto):</w:t>
      </w:r>
    </w:p>
    <w:p w:rsidR="002D5E3B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Euro 0 – 149.000.00</w:t>
      </w:r>
    </w:p>
    <w:p w:rsidR="002D5E3B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Euro 150.000,00 – 180.000,00</w:t>
      </w:r>
    </w:p>
    <w:p w:rsidR="002D5E3B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Euro 181.000,00 – 220.000,00</w:t>
      </w:r>
    </w:p>
    <w:p w:rsidR="002D5E3B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Euro 221.000,00 – 280.000,00</w:t>
      </w:r>
    </w:p>
    <w:p w:rsidR="002D5E3B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Euro 281.000,00 – 332.000,00 </w:t>
      </w:r>
    </w:p>
    <w:p w:rsidR="002D5E3B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somma superiore ad Euro 332.000,00.</w:t>
      </w:r>
    </w:p>
    <w:p w:rsidR="002D5E3B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4C">
        <w:rPr>
          <w:rFonts w:ascii="Times New Roman" w:hAnsi="Times New Roman" w:cs="Times New Roman"/>
          <w:b/>
          <w:sz w:val="24"/>
          <w:szCs w:val="24"/>
        </w:rPr>
        <w:t xml:space="preserve">Sono stati inoltre individuati i seguenti </w:t>
      </w:r>
      <w:r w:rsidRPr="00D7494C">
        <w:rPr>
          <w:rFonts w:ascii="Times New Roman" w:hAnsi="Times New Roman" w:cs="Times New Roman"/>
          <w:b/>
          <w:i/>
          <w:sz w:val="24"/>
          <w:szCs w:val="24"/>
        </w:rPr>
        <w:t>range</w:t>
      </w:r>
      <w:r w:rsidRPr="00D7494C">
        <w:rPr>
          <w:rFonts w:ascii="Times New Roman" w:hAnsi="Times New Roman" w:cs="Times New Roman"/>
          <w:b/>
          <w:sz w:val="24"/>
          <w:szCs w:val="24"/>
        </w:rPr>
        <w:t xml:space="preserve"> di liquidazione del danno in favore della seconda serie dei prossimi congiunti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E7437">
        <w:rPr>
          <w:rFonts w:ascii="Times New Roman" w:hAnsi="Times New Roman" w:cs="Times New Roman"/>
          <w:sz w:val="24"/>
          <w:szCs w:val="24"/>
        </w:rPr>
        <w:t xml:space="preserve">in favore del </w:t>
      </w:r>
      <w:r>
        <w:rPr>
          <w:rFonts w:ascii="Times New Roman" w:hAnsi="Times New Roman" w:cs="Times New Roman"/>
          <w:sz w:val="24"/>
          <w:szCs w:val="24"/>
        </w:rPr>
        <w:t xml:space="preserve">fratello e </w:t>
      </w:r>
      <w:r w:rsidR="001E7437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>nonno):</w:t>
      </w:r>
    </w:p>
    <w:p w:rsidR="002D5E3B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Euro 0 – 19.000,00</w:t>
      </w:r>
    </w:p>
    <w:p w:rsidR="002D5E3B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Euro 20.000,00 – 40.000,00</w:t>
      </w:r>
    </w:p>
    <w:p w:rsidR="002D5E3B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Euro 41.000,00 – 80.000,00</w:t>
      </w:r>
    </w:p>
    <w:p w:rsidR="002D5E3B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Euro 81.000,00 – 110.000,00</w:t>
      </w:r>
    </w:p>
    <w:p w:rsidR="002D5E3B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Euro 111.000,00 – 145.000,00</w:t>
      </w:r>
    </w:p>
    <w:p w:rsidR="002D5E3B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somma superiore ad Euro 145.000,00.</w:t>
      </w:r>
    </w:p>
    <w:p w:rsidR="002D5E3B" w:rsidRPr="00D1526C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lavoro di analisi e monitoraggio delle sentenze è ancora in corso. E’ tuttavia possibile affermare sin d’ora che, nei </w:t>
      </w:r>
      <w:r w:rsidRPr="00BF47C8">
        <w:rPr>
          <w:rFonts w:ascii="Times New Roman" w:hAnsi="Times New Roman" w:cs="Times New Roman"/>
          <w:i/>
          <w:sz w:val="24"/>
          <w:szCs w:val="24"/>
        </w:rPr>
        <w:t>range</w:t>
      </w:r>
      <w:r>
        <w:rPr>
          <w:rFonts w:ascii="Times New Roman" w:hAnsi="Times New Roman" w:cs="Times New Roman"/>
          <w:sz w:val="24"/>
          <w:szCs w:val="24"/>
        </w:rPr>
        <w:t xml:space="preserve"> di liquidazione Euro 150.000,00 – 1</w:t>
      </w:r>
      <w:r w:rsidR="00D1526C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.000,00 e Euro 20.000,000 – </w:t>
      </w:r>
      <w:r w:rsidR="00D1526C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.000,00, che comprende quindi </w:t>
      </w:r>
      <w:r w:rsidRPr="00D7494C">
        <w:rPr>
          <w:rFonts w:ascii="Times New Roman" w:hAnsi="Times New Roman" w:cs="Times New Roman"/>
          <w:b/>
          <w:sz w:val="24"/>
          <w:szCs w:val="24"/>
        </w:rPr>
        <w:t>tutti i valori rientranti nella prima colonna (ora) denominata “valore monetario base”</w:t>
      </w:r>
      <w:r w:rsidRPr="00D7494C">
        <w:rPr>
          <w:rFonts w:ascii="Times New Roman" w:hAnsi="Times New Roman" w:cs="Times New Roman"/>
          <w:sz w:val="24"/>
          <w:szCs w:val="24"/>
        </w:rPr>
        <w:t xml:space="preserve"> della Tabella del danno da </w:t>
      </w:r>
      <w:r>
        <w:rPr>
          <w:rFonts w:ascii="Times New Roman" w:hAnsi="Times New Roman" w:cs="Times New Roman"/>
          <w:sz w:val="24"/>
          <w:szCs w:val="24"/>
        </w:rPr>
        <w:t>perdita del rapporto parentale</w:t>
      </w:r>
      <w:r w:rsidR="00D1526C">
        <w:rPr>
          <w:rFonts w:ascii="Times New Roman" w:hAnsi="Times New Roman" w:cs="Times New Roman"/>
          <w:sz w:val="24"/>
          <w:szCs w:val="24"/>
        </w:rPr>
        <w:t>, i</w:t>
      </w:r>
      <w:r w:rsidRPr="00D7494C">
        <w:rPr>
          <w:rFonts w:ascii="Times New Roman" w:hAnsi="Times New Roman" w:cs="Times New Roman"/>
          <w:b/>
          <w:sz w:val="24"/>
          <w:szCs w:val="24"/>
        </w:rPr>
        <w:t xml:space="preserve"> giudici hanno motivato la scelta di questi valori monetari tenendo principalmente conto dei seguenti parametri:</w:t>
      </w:r>
    </w:p>
    <w:p w:rsidR="002D5E3B" w:rsidRPr="00F0331C" w:rsidRDefault="002D5E3B" w:rsidP="006E2360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F0331C">
        <w:rPr>
          <w:rFonts w:ascii="Times New Roman" w:hAnsi="Times New Roman" w:cs="Times New Roman"/>
          <w:sz w:val="24"/>
          <w:szCs w:val="24"/>
        </w:rPr>
        <w:t>la scarsità di allegazioni e</w:t>
      </w:r>
      <w:r>
        <w:rPr>
          <w:rFonts w:ascii="Times New Roman" w:hAnsi="Times New Roman" w:cs="Times New Roman"/>
          <w:sz w:val="24"/>
          <w:szCs w:val="24"/>
        </w:rPr>
        <w:t>/o</w:t>
      </w:r>
      <w:r w:rsidRPr="00F0331C">
        <w:rPr>
          <w:rFonts w:ascii="Times New Roman" w:hAnsi="Times New Roman" w:cs="Times New Roman"/>
          <w:sz w:val="24"/>
          <w:szCs w:val="24"/>
        </w:rPr>
        <w:t xml:space="preserve"> mancanza di prova su circostanze di fatto idonee a personalizzare il danno</w:t>
      </w:r>
      <w:r>
        <w:rPr>
          <w:rFonts w:ascii="Times New Roman" w:hAnsi="Times New Roman" w:cs="Times New Roman"/>
          <w:sz w:val="24"/>
          <w:szCs w:val="24"/>
        </w:rPr>
        <w:t xml:space="preserve"> e, quindi, il danno è stato ritenuto provato in base a presunzioni</w:t>
      </w:r>
    </w:p>
    <w:p w:rsidR="002D5E3B" w:rsidRDefault="002D5E3B" w:rsidP="006E2360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vittima secondaria residente all’estero</w:t>
      </w:r>
    </w:p>
    <w:p w:rsidR="002D5E3B" w:rsidRDefault="002D5E3B" w:rsidP="006E2360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mancanza di prova di un’assidua frequentazione con la vittima primaria</w:t>
      </w:r>
    </w:p>
    <w:p w:rsidR="002D5E3B" w:rsidRPr="00F0331C" w:rsidRDefault="002D5E3B" w:rsidP="006E2360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formazione di nuclei familiari autonomi</w:t>
      </w:r>
    </w:p>
    <w:p w:rsidR="002D5E3B" w:rsidRPr="00F0331C" w:rsidRDefault="002D5E3B" w:rsidP="006E2360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F0331C">
        <w:rPr>
          <w:rFonts w:ascii="Times New Roman" w:hAnsi="Times New Roman" w:cs="Times New Roman"/>
          <w:sz w:val="24"/>
          <w:szCs w:val="24"/>
        </w:rPr>
        <w:t>l’età avanzata della vittima primaria</w:t>
      </w:r>
      <w:r>
        <w:rPr>
          <w:rFonts w:ascii="Times New Roman" w:hAnsi="Times New Roman" w:cs="Times New Roman"/>
          <w:sz w:val="24"/>
          <w:szCs w:val="24"/>
        </w:rPr>
        <w:t xml:space="preserve"> o premorienza della vittima secondaria durante il processo </w:t>
      </w:r>
    </w:p>
    <w:p w:rsidR="002D5E3B" w:rsidRPr="00F0331C" w:rsidRDefault="002D5E3B" w:rsidP="006E2360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F0331C">
        <w:rPr>
          <w:rFonts w:ascii="Times New Roman" w:hAnsi="Times New Roman" w:cs="Times New Roman"/>
          <w:sz w:val="24"/>
          <w:szCs w:val="24"/>
        </w:rPr>
        <w:t>coniuge separato legalmente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5E3B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 prossimi mesi saranno pubblicati i risultati definitivi del monitoraggio in corso, in relazione a tutti i </w:t>
      </w:r>
      <w:r w:rsidRPr="00B6270E">
        <w:rPr>
          <w:rFonts w:ascii="Times New Roman" w:hAnsi="Times New Roman" w:cs="Times New Roman"/>
          <w:i/>
          <w:sz w:val="24"/>
          <w:szCs w:val="24"/>
        </w:rPr>
        <w:t>range</w:t>
      </w:r>
      <w:r>
        <w:rPr>
          <w:rFonts w:ascii="Times New Roman" w:hAnsi="Times New Roman" w:cs="Times New Roman"/>
          <w:sz w:val="24"/>
          <w:szCs w:val="24"/>
        </w:rPr>
        <w:t xml:space="preserve"> di liquidazione innanzi indicati.</w:t>
      </w:r>
    </w:p>
    <w:p w:rsidR="002D5E3B" w:rsidRDefault="002D5E3B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conclusione, l’Osservatorio di Milano, in conformità ad un consolidato indirizzo giurisprudenziale della Cassazione, ribadisce che</w:t>
      </w:r>
      <w:r w:rsidRPr="009C1489">
        <w:rPr>
          <w:rFonts w:ascii="Times New Roman" w:hAnsi="Times New Roman" w:cs="Times New Roman"/>
          <w:b/>
          <w:sz w:val="24"/>
          <w:szCs w:val="24"/>
        </w:rPr>
        <w:t xml:space="preserve"> all’onere di allegazione e prova della parte corrisponde un obbligo di motivazione del giudice </w:t>
      </w:r>
      <w:r w:rsidRPr="009C1489">
        <w:rPr>
          <w:rFonts w:ascii="Times New Roman" w:hAnsi="Times New Roman" w:cs="Times New Roman"/>
          <w:sz w:val="24"/>
          <w:szCs w:val="24"/>
        </w:rPr>
        <w:t>su tutte le voci descrittive del danno non patrimoniale e che devono essere certamente esclusi meri automatismi non consentiti dal dovere di motivazione di tutti i provvedimenti giurisdizionali, ex art. 111 Cost..</w:t>
      </w:r>
    </w:p>
    <w:p w:rsidR="006E2360" w:rsidRPr="000F6D04" w:rsidRDefault="006E2360" w:rsidP="006E2360">
      <w:pPr>
        <w:pStyle w:val="NormaleWeb"/>
        <w:spacing w:before="120" w:beforeAutospacing="0" w:after="120" w:afterAutospacing="0"/>
        <w:rPr>
          <w:i/>
        </w:rPr>
      </w:pPr>
      <w:r w:rsidRPr="000F6D04">
        <w:rPr>
          <w:i/>
        </w:rPr>
        <w:t xml:space="preserve">Milano, </w:t>
      </w:r>
      <w:r w:rsidR="00B567E3">
        <w:rPr>
          <w:i/>
        </w:rPr>
        <w:t>5</w:t>
      </w:r>
      <w:r>
        <w:rPr>
          <w:i/>
        </w:rPr>
        <w:t xml:space="preserve"> luglio</w:t>
      </w:r>
      <w:r w:rsidRPr="000F6D04">
        <w:rPr>
          <w:i/>
        </w:rPr>
        <w:t xml:space="preserve"> 2018.</w:t>
      </w:r>
    </w:p>
    <w:p w:rsidR="00E719EA" w:rsidRDefault="00E719EA" w:rsidP="00E719EA">
      <w:pPr>
        <w:pStyle w:val="NormaleWeb"/>
        <w:spacing w:before="240" w:beforeAutospacing="0" w:after="240" w:afterAutospacing="0"/>
        <w:jc w:val="center"/>
        <w:rPr>
          <w:i/>
        </w:rPr>
      </w:pPr>
      <w:r>
        <w:rPr>
          <w:i/>
        </w:rPr>
        <w:t xml:space="preserve">Per </w:t>
      </w:r>
      <w:r w:rsidRPr="000F6D04">
        <w:rPr>
          <w:i/>
        </w:rPr>
        <w:t>l’Osservatorio sulla Giustizia civile di Milano</w:t>
      </w:r>
    </w:p>
    <w:p w:rsidR="00E719EA" w:rsidRPr="00607D2D" w:rsidRDefault="00E719EA" w:rsidP="00E719EA">
      <w:pPr>
        <w:pStyle w:val="NormaleWeb"/>
        <w:spacing w:before="240" w:beforeAutospacing="0" w:after="240" w:afterAutospacing="0"/>
        <w:jc w:val="center"/>
        <w:rPr>
          <w:i/>
        </w:rPr>
      </w:pPr>
      <w:r>
        <w:rPr>
          <w:i/>
        </w:rPr>
        <w:t xml:space="preserve">Adriana Cassano Cicuto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Damiano Spera</w:t>
      </w:r>
    </w:p>
    <w:p w:rsidR="00E719EA" w:rsidRPr="000F6D04" w:rsidRDefault="00E719EA" w:rsidP="006E2360">
      <w:pPr>
        <w:tabs>
          <w:tab w:val="left" w:pos="3980"/>
        </w:tabs>
        <w:spacing w:before="120" w:after="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2360" w:rsidRDefault="006E2360" w:rsidP="006E2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236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3B" w:rsidRDefault="001F063B">
      <w:pPr>
        <w:spacing w:after="0" w:line="240" w:lineRule="auto"/>
      </w:pPr>
      <w:r>
        <w:separator/>
      </w:r>
    </w:p>
  </w:endnote>
  <w:endnote w:type="continuationSeparator" w:id="0">
    <w:p w:rsidR="001F063B" w:rsidRDefault="001F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8113495"/>
      <w:docPartObj>
        <w:docPartGallery w:val="Page Numbers (Bottom of Page)"/>
        <w:docPartUnique/>
      </w:docPartObj>
    </w:sdtPr>
    <w:sdtEndPr/>
    <w:sdtContent>
      <w:p w:rsidR="00E4370F" w:rsidRDefault="0031231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C8C">
          <w:rPr>
            <w:noProof/>
          </w:rPr>
          <w:t>2</w:t>
        </w:r>
        <w:r>
          <w:fldChar w:fldCharType="end"/>
        </w:r>
      </w:p>
    </w:sdtContent>
  </w:sdt>
  <w:p w:rsidR="009A73EF" w:rsidRDefault="001F06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3B" w:rsidRDefault="001F063B">
      <w:pPr>
        <w:spacing w:after="0" w:line="240" w:lineRule="auto"/>
      </w:pPr>
      <w:r>
        <w:separator/>
      </w:r>
    </w:p>
  </w:footnote>
  <w:footnote w:type="continuationSeparator" w:id="0">
    <w:p w:rsidR="001F063B" w:rsidRDefault="001F0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160D4"/>
    <w:multiLevelType w:val="hybridMultilevel"/>
    <w:tmpl w:val="E2C671CE"/>
    <w:lvl w:ilvl="0" w:tplc="534CE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3B"/>
    <w:rsid w:val="000E6008"/>
    <w:rsid w:val="00111C8C"/>
    <w:rsid w:val="0012247A"/>
    <w:rsid w:val="001469A5"/>
    <w:rsid w:val="001E7437"/>
    <w:rsid w:val="001F063B"/>
    <w:rsid w:val="002D5E3B"/>
    <w:rsid w:val="0031231D"/>
    <w:rsid w:val="00515D6F"/>
    <w:rsid w:val="006B6FC1"/>
    <w:rsid w:val="006E2360"/>
    <w:rsid w:val="0077659D"/>
    <w:rsid w:val="00860EB3"/>
    <w:rsid w:val="00B567E3"/>
    <w:rsid w:val="00BB0ED9"/>
    <w:rsid w:val="00D1526C"/>
    <w:rsid w:val="00E719EA"/>
    <w:rsid w:val="00E8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25839-E1B1-4131-9C45-3BD524AC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D5E3B"/>
    <w:pPr>
      <w:tabs>
        <w:tab w:val="center" w:pos="4819"/>
        <w:tab w:val="right" w:pos="9638"/>
      </w:tabs>
      <w:spacing w:after="0" w:line="240" w:lineRule="auto"/>
      <w:jc w:val="both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E3B"/>
  </w:style>
  <w:style w:type="paragraph" w:styleId="Paragrafoelenco">
    <w:name w:val="List Paragraph"/>
    <w:basedOn w:val="Normale"/>
    <w:uiPriority w:val="34"/>
    <w:qFormat/>
    <w:rsid w:val="002D5E3B"/>
    <w:pPr>
      <w:spacing w:after="0" w:line="240" w:lineRule="auto"/>
      <w:ind w:left="720"/>
      <w:contextualSpacing/>
      <w:jc w:val="both"/>
    </w:pPr>
  </w:style>
  <w:style w:type="paragraph" w:styleId="NormaleWeb">
    <w:name w:val="Normal (Web)"/>
    <w:basedOn w:val="Normale"/>
    <w:uiPriority w:val="99"/>
    <w:unhideWhenUsed/>
    <w:rsid w:val="006E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Riva Crugnola</dc:creator>
  <cp:keywords/>
  <dc:description/>
  <cp:lastModifiedBy>Elena Riva Crugnola</cp:lastModifiedBy>
  <cp:revision>3</cp:revision>
  <dcterms:created xsi:type="dcterms:W3CDTF">2018-07-10T16:17:00Z</dcterms:created>
  <dcterms:modified xsi:type="dcterms:W3CDTF">2018-07-10T16:33:00Z</dcterms:modified>
</cp:coreProperties>
</file>